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66667D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61C669F" wp14:editId="7A99B71A">
                <wp:simplePos x="0" y="0"/>
                <wp:positionH relativeFrom="margin">
                  <wp:posOffset>7066280</wp:posOffset>
                </wp:positionH>
                <wp:positionV relativeFrom="paragraph">
                  <wp:posOffset>-276225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66667D" w:rsidRDefault="0066667D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</w:pPr>
                            <w:r w:rsidRPr="0066667D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6.4pt;margin-top:-21.7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g39FDd8A&#10;AAAMAQAADwAAAAAAAAAAAAAAAABkBAAAZHJzL2Rvd25yZXYueG1sUEsFBgAAAAAEAAQA8wAAAHAF&#10;AAAAAA==&#10;" filled="f" stroked="f">
                <v:textbox>
                  <w:txbxContent>
                    <w:p w:rsidR="00230259" w:rsidRPr="0066667D" w:rsidRDefault="0066667D" w:rsidP="00230259">
                      <w:pPr>
                        <w:rPr>
                          <w:rFonts w:cstheme="minorHAnsi"/>
                          <w:b/>
                          <w:sz w:val="24"/>
                          <w:lang w:val="en-US"/>
                        </w:rPr>
                      </w:pPr>
                      <w:r w:rsidRPr="0066667D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6125C60" wp14:editId="396EB980">
            <wp:simplePos x="0" y="0"/>
            <wp:positionH relativeFrom="page">
              <wp:posOffset>6981825</wp:posOffset>
            </wp:positionH>
            <wp:positionV relativeFrom="paragraph">
              <wp:posOffset>47625</wp:posOffset>
            </wp:positionV>
            <wp:extent cx="3609975" cy="4943475"/>
            <wp:effectExtent l="0" t="0" r="2857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7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EEB605" wp14:editId="14C9B7CF">
                <wp:simplePos x="0" y="0"/>
                <wp:positionH relativeFrom="margin">
                  <wp:posOffset>-752475</wp:posOffset>
                </wp:positionH>
                <wp:positionV relativeFrom="paragraph">
                  <wp:posOffset>-333375</wp:posOffset>
                </wp:positionV>
                <wp:extent cx="3495675" cy="2800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57325" w:rsidRP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73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Scale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573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ratio of the distance on the map to the distance on the ground and it shows what 1 cm on the map represents in the real world</w:t>
                            </w:r>
                          </w:p>
                          <w:p w:rsidR="00A57325" w:rsidRP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73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Ratio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573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Compares one thing to another thing</w:t>
                            </w:r>
                          </w:p>
                          <w:p w:rsidR="00A57325" w:rsidRP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57325" w:rsidRPr="00A57325" w:rsidRDefault="00A57325" w:rsidP="00A57325">
                            <w:pPr>
                              <w:rPr>
                                <w:rFonts w:cstheme="minorHAnsi"/>
                              </w:rPr>
                            </w:pPr>
                            <w:r w:rsidRPr="00A57325">
                              <w:rPr>
                                <w:rFonts w:cstheme="minorHAnsi"/>
                              </w:rPr>
                              <w:t xml:space="preserve">Economy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A57325">
                              <w:rPr>
                                <w:rFonts w:cstheme="minorHAnsi"/>
                              </w:rPr>
                              <w:t>The way people spend money and the way people make money</w:t>
                            </w:r>
                          </w:p>
                          <w:p w:rsidR="00A57325" w:rsidRP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57325" w:rsidRPr="00A57325" w:rsidRDefault="00A57325" w:rsidP="00A57325">
                            <w:pPr>
                              <w:rPr>
                                <w:rFonts w:cstheme="minorHAnsi"/>
                              </w:rPr>
                            </w:pPr>
                            <w:r w:rsidRPr="00A57325">
                              <w:rPr>
                                <w:rFonts w:cstheme="minorHAnsi"/>
                              </w:rPr>
                              <w:t>Trade link</w:t>
                            </w:r>
                            <w:r w:rsidRPr="00A57325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 xml:space="preserve">- </w:t>
                            </w:r>
                            <w:r w:rsidRPr="00A57325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Trade happens between businesses and countries across the globe</w:t>
                            </w:r>
                          </w:p>
                          <w:p w:rsid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</w:p>
                          <w:p w:rsid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</w:p>
                          <w:p w:rsid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16"/>
                                <w:szCs w:val="16"/>
                              </w:rPr>
                            </w:pPr>
                          </w:p>
                          <w:p w:rsidR="00A57325" w:rsidRDefault="00A57325" w:rsidP="00A5732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</w:p>
                          <w:p w:rsidR="00A57325" w:rsidRDefault="00A57325" w:rsidP="00A5732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A1759" w:rsidRDefault="008A1759" w:rsidP="008A175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759" w:rsidRDefault="008A1759" w:rsidP="008A175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8A1759" w:rsidRDefault="008A1759" w:rsidP="008A175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8A1759" w:rsidRDefault="008A1759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F53F4F" w:rsidRDefault="00F53F4F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E4D83" w:rsidRPr="003E4D83" w:rsidRDefault="003E4D83" w:rsidP="004220EC"/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-26.25pt;width:275.25pt;height:22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57325" w:rsidRP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73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Scale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Pr="00A573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ratio of the distance on the map to the distance on the ground and it shows what 1 cm on the map represents in the real world</w:t>
                      </w:r>
                    </w:p>
                    <w:p w:rsidR="00A57325" w:rsidRP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73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Ratio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Pr="00A573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Compares one thing to another thing</w:t>
                      </w:r>
                    </w:p>
                    <w:p w:rsidR="00A57325" w:rsidRP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57325" w:rsidRPr="00A57325" w:rsidRDefault="00A57325" w:rsidP="00A57325">
                      <w:pPr>
                        <w:rPr>
                          <w:rFonts w:cstheme="minorHAnsi"/>
                        </w:rPr>
                      </w:pPr>
                      <w:r w:rsidRPr="00A57325">
                        <w:rPr>
                          <w:rFonts w:cstheme="minorHAnsi"/>
                        </w:rPr>
                        <w:t xml:space="preserve">Economy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A57325">
                        <w:rPr>
                          <w:rFonts w:cstheme="minorHAnsi"/>
                        </w:rPr>
                        <w:t>The way people spend money and the way people make money</w:t>
                      </w:r>
                    </w:p>
                    <w:p w:rsidR="00A57325" w:rsidRP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57325" w:rsidRPr="00A57325" w:rsidRDefault="00A57325" w:rsidP="00A57325">
                      <w:pPr>
                        <w:rPr>
                          <w:rFonts w:cstheme="minorHAnsi"/>
                        </w:rPr>
                      </w:pPr>
                      <w:r w:rsidRPr="00A57325">
                        <w:rPr>
                          <w:rFonts w:cstheme="minorHAnsi"/>
                        </w:rPr>
                        <w:t>Trade link</w:t>
                      </w:r>
                      <w:r w:rsidRPr="00A57325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 xml:space="preserve">- </w:t>
                      </w:r>
                      <w:r w:rsidRPr="00A57325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Trade happens between businesses and countries across the globe</w:t>
                      </w:r>
                    </w:p>
                    <w:p w:rsid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</w:p>
                    <w:p w:rsid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</w:p>
                    <w:p w:rsid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16"/>
                          <w:szCs w:val="16"/>
                        </w:rPr>
                      </w:pPr>
                    </w:p>
                    <w:p w:rsidR="00A57325" w:rsidRDefault="00A57325" w:rsidP="00A5732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</w:p>
                    <w:p w:rsidR="00A57325" w:rsidRDefault="00A57325" w:rsidP="00A57325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:rsidR="008A1759" w:rsidRDefault="008A1759" w:rsidP="008A1759">
                      <w:pPr>
                        <w:rPr>
                          <w:rFonts w:cstheme="minorHAnsi"/>
                        </w:rPr>
                      </w:pPr>
                    </w:p>
                    <w:p w:rsidR="008A1759" w:rsidRDefault="008A1759" w:rsidP="008A1759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8A1759" w:rsidRDefault="008A1759" w:rsidP="008A1759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8A1759" w:rsidRDefault="008A1759" w:rsidP="004220EC">
                      <w:pPr>
                        <w:rPr>
                          <w:b/>
                        </w:rPr>
                      </w:pPr>
                    </w:p>
                    <w:p w:rsidR="00F53F4F" w:rsidRDefault="00F53F4F" w:rsidP="004220EC">
                      <w:pPr>
                        <w:rPr>
                          <w:b/>
                        </w:rPr>
                      </w:pPr>
                    </w:p>
                    <w:p w:rsidR="003E4D83" w:rsidRPr="003E4D83" w:rsidRDefault="003E4D83" w:rsidP="004220EC"/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5B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-702652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448F8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B5A56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3C0B70" w:rsidRPr="00F448F8" w:rsidRDefault="008875B7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Industrial Age</w:t>
                            </w:r>
                          </w:p>
                          <w:p w:rsidR="0068440F" w:rsidRPr="00F448F8" w:rsidRDefault="008875B7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Land Use and Settlements </w:t>
                            </w:r>
                            <w:r w:rsidR="00272B09" w:rsidRPr="00F448F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5.35pt;width:402pt;height:88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B0QQS53QAAAAgBAAAPAAAAAAAAAAAAAAAAAH0EAABkcnMvZG93bnJl&#10;di54bWxQSwUGAAAAAAQABADzAAAAhwUAAAAA&#10;" stroked="f">
                <v:textbox>
                  <w:txbxContent>
                    <w:p w:rsidR="008C3E7F" w:rsidRPr="00F448F8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B5A56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3C0B70" w:rsidRPr="00F448F8" w:rsidRDefault="008875B7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Industrial Age</w:t>
                      </w:r>
                    </w:p>
                    <w:p w:rsidR="0068440F" w:rsidRPr="00F448F8" w:rsidRDefault="008875B7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Land Use and Settlements </w:t>
                      </w:r>
                      <w:r w:rsidR="00272B09" w:rsidRPr="00F448F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6666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B383D39" wp14:editId="3791AC1E">
                <wp:simplePos x="0" y="0"/>
                <wp:positionH relativeFrom="column">
                  <wp:posOffset>-752475</wp:posOffset>
                </wp:positionH>
                <wp:positionV relativeFrom="paragraph">
                  <wp:posOffset>3095625</wp:posOffset>
                </wp:positionV>
                <wp:extent cx="3371850" cy="29622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How did the railways affect trade during the Industrial Age?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What caused the spike in population during the Industrial Age?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What is the difference between a primary and a secondary source?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How did Bradford’s landscape change over the course of the Industrial Revolution?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A1759" w:rsidRDefault="008A1759" w:rsidP="008A175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</w:rPr>
                              <w:t>What effect did the Industrial Age have on climate change?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9.25pt;margin-top:243.75pt;width:265.5pt;height:23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How did the railways affect trade during the Industrial Age?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 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What caused the spike in population during the Industrial Age?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 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What is the difference between a primary and a secondary source?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 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How did Bradford’s landscape change over the course of the Industrial Revolution?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 </w:t>
                      </w:r>
                    </w:p>
                    <w:p w:rsidR="008A1759" w:rsidRDefault="008A1759" w:rsidP="008A175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</w:rPr>
                        <w:t>What effect did the Industrial Age have on climate change?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3019425</wp:posOffset>
                </wp:positionV>
                <wp:extent cx="3124835" cy="3162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57325" w:rsidRDefault="00A57325" w:rsidP="00A57325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486F47">
                              <w:rPr>
                                <w:rFonts w:ascii="Calibri" w:eastAsia="Times New Roman" w:hAnsi="Calibri" w:cs="Calibri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 xml:space="preserve">In 1830 Robert Stephenson implemented the first ever passenger service in the world, which took travellers from Canterbury to the seaside town of Whitstable 6 miles away. </w:t>
                            </w:r>
                          </w:p>
                          <w:p w:rsidR="00A57325" w:rsidRPr="00486F47" w:rsidRDefault="00A57325" w:rsidP="00A57325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2424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>In</w:t>
                            </w:r>
                            <w:r w:rsidRPr="00486F47">
                              <w:rPr>
                                <w:rFonts w:ascii="Calibri" w:eastAsia="Times New Roman" w:hAnsi="Calibri" w:cs="Calibri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 xml:space="preserve"> 1863 the first underground service was built, connecting London Paddington to Farringdon.</w:t>
                            </w:r>
                          </w:p>
                          <w:p w:rsidR="00A57325" w:rsidRPr="00486F47" w:rsidRDefault="00A57325" w:rsidP="00A57325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242424"/>
                                <w:lang w:eastAsia="en-GB"/>
                              </w:rPr>
                            </w:pPr>
                            <w:r w:rsidRPr="00486F47">
                              <w:rPr>
                                <w:rFonts w:ascii="Calibri" w:eastAsia="Times New Roman" w:hAnsi="Calibri" w:cs="Calibri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> Before the Industrial Revolution, Bradford was a small market town with a population of 4500. By 1850, the population had grown to 103,000.</w:t>
                            </w:r>
                          </w:p>
                          <w:p w:rsidR="00A57325" w:rsidRPr="00486F47" w:rsidRDefault="00A57325" w:rsidP="00A57325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242424"/>
                                <w:lang w:eastAsia="en-GB"/>
                              </w:rPr>
                            </w:pPr>
                            <w:r w:rsidRPr="00486F47">
                              <w:rPr>
                                <w:rFonts w:ascii="Calibri" w:eastAsia="Times New Roman" w:hAnsi="Calibri" w:cs="Calibri"/>
                                <w:color w:val="242424"/>
                                <w:lang w:eastAsia="en-GB"/>
                              </w:rPr>
                              <w:t>Human geography is the branch of geography that is associated and deals with humans and their relationship with communities, cultures and economies.</w:t>
                            </w:r>
                          </w:p>
                          <w:p w:rsidR="008A1759" w:rsidRPr="004B2B62" w:rsidRDefault="008A1759" w:rsidP="00A5732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37.75pt;width:246.05pt;height:249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57325" w:rsidRDefault="00A57325" w:rsidP="00A57325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000000"/>
                          <w:bdr w:val="none" w:sz="0" w:space="0" w:color="auto" w:frame="1"/>
                          <w:lang w:eastAsia="en-GB"/>
                        </w:rPr>
                      </w:pPr>
                      <w:r w:rsidRPr="00486F47">
                        <w:rPr>
                          <w:rFonts w:ascii="Calibri" w:eastAsia="Times New Roman" w:hAnsi="Calibri" w:cs="Calibri"/>
                          <w:color w:val="000000"/>
                          <w:bdr w:val="none" w:sz="0" w:space="0" w:color="auto" w:frame="1"/>
                          <w:lang w:eastAsia="en-GB"/>
                        </w:rPr>
                        <w:t xml:space="preserve">In 1830 Robert Stephenson implemented the first ever passenger service in the world, which took travellers from Canterbury to the seaside town of Whitstable 6 miles away. </w:t>
                      </w:r>
                    </w:p>
                    <w:p w:rsidR="00A57325" w:rsidRPr="00486F47" w:rsidRDefault="00A57325" w:rsidP="00A57325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2424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bdr w:val="none" w:sz="0" w:space="0" w:color="auto" w:frame="1"/>
                          <w:lang w:eastAsia="en-GB"/>
                        </w:rPr>
                        <w:t>In</w:t>
                      </w:r>
                      <w:r w:rsidRPr="00486F47">
                        <w:rPr>
                          <w:rFonts w:ascii="Calibri" w:eastAsia="Times New Roman" w:hAnsi="Calibri" w:cs="Calibri"/>
                          <w:color w:val="000000"/>
                          <w:bdr w:val="none" w:sz="0" w:space="0" w:color="auto" w:frame="1"/>
                          <w:lang w:eastAsia="en-GB"/>
                        </w:rPr>
                        <w:t xml:space="preserve"> 1863 the first underground service was built, connecting London Paddington to Farringdon.</w:t>
                      </w:r>
                    </w:p>
                    <w:p w:rsidR="00A57325" w:rsidRPr="00486F47" w:rsidRDefault="00A57325" w:rsidP="00A57325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242424"/>
                          <w:lang w:eastAsia="en-GB"/>
                        </w:rPr>
                      </w:pPr>
                      <w:r w:rsidRPr="00486F47">
                        <w:rPr>
                          <w:rFonts w:ascii="Calibri" w:eastAsia="Times New Roman" w:hAnsi="Calibri" w:cs="Calibri"/>
                          <w:color w:val="000000"/>
                          <w:bdr w:val="none" w:sz="0" w:space="0" w:color="auto" w:frame="1"/>
                          <w:lang w:eastAsia="en-GB"/>
                        </w:rPr>
                        <w:t> Before the Industrial Revolution, Bradford was a small market town with a population of 4500. By 1850, the population had grown to 103,000.</w:t>
                      </w:r>
                    </w:p>
                    <w:p w:rsidR="00A57325" w:rsidRPr="00486F47" w:rsidRDefault="00A57325" w:rsidP="00A57325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242424"/>
                          <w:lang w:eastAsia="en-GB"/>
                        </w:rPr>
                      </w:pPr>
                      <w:r w:rsidRPr="00486F47">
                        <w:rPr>
                          <w:rFonts w:ascii="Calibri" w:eastAsia="Times New Roman" w:hAnsi="Calibri" w:cs="Calibri"/>
                          <w:color w:val="242424"/>
                          <w:lang w:eastAsia="en-GB"/>
                        </w:rPr>
                        <w:t>Human geography is the branch of geography that is associated and deals with humans and their relationship with communities, cultures and economies.</w:t>
                      </w:r>
                    </w:p>
                    <w:p w:rsidR="008A1759" w:rsidRPr="004B2B62" w:rsidRDefault="008A1759" w:rsidP="00A5732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3125203" cy="2447925"/>
            <wp:effectExtent l="0" t="0" r="0" b="0"/>
            <wp:wrapNone/>
            <wp:docPr id="3" name="Picture 3" descr="The Industrial Revolution in Yorkshire – Wilc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dustrial Revolution in Yorkshire – Wilcu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03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7173A"/>
    <w:rsid w:val="000C4EE7"/>
    <w:rsid w:val="001114E6"/>
    <w:rsid w:val="001370D9"/>
    <w:rsid w:val="00211672"/>
    <w:rsid w:val="00230259"/>
    <w:rsid w:val="00272B09"/>
    <w:rsid w:val="00297495"/>
    <w:rsid w:val="002E3902"/>
    <w:rsid w:val="00324B8A"/>
    <w:rsid w:val="00327FD4"/>
    <w:rsid w:val="003340FE"/>
    <w:rsid w:val="003A3804"/>
    <w:rsid w:val="003B5A56"/>
    <w:rsid w:val="003C0B70"/>
    <w:rsid w:val="003D2313"/>
    <w:rsid w:val="003E4D83"/>
    <w:rsid w:val="00401691"/>
    <w:rsid w:val="004140A9"/>
    <w:rsid w:val="004220EC"/>
    <w:rsid w:val="00465B36"/>
    <w:rsid w:val="00475785"/>
    <w:rsid w:val="00477422"/>
    <w:rsid w:val="00482E8D"/>
    <w:rsid w:val="004A32CA"/>
    <w:rsid w:val="004B093F"/>
    <w:rsid w:val="004B70A1"/>
    <w:rsid w:val="004D749A"/>
    <w:rsid w:val="00524896"/>
    <w:rsid w:val="00596E78"/>
    <w:rsid w:val="005E5BA6"/>
    <w:rsid w:val="00641DD2"/>
    <w:rsid w:val="0066667D"/>
    <w:rsid w:val="0068440F"/>
    <w:rsid w:val="0069033C"/>
    <w:rsid w:val="00740715"/>
    <w:rsid w:val="00747921"/>
    <w:rsid w:val="00754D16"/>
    <w:rsid w:val="00807329"/>
    <w:rsid w:val="00855D72"/>
    <w:rsid w:val="00856FC2"/>
    <w:rsid w:val="008721AB"/>
    <w:rsid w:val="00875BAE"/>
    <w:rsid w:val="0087770C"/>
    <w:rsid w:val="00881B8F"/>
    <w:rsid w:val="008875B7"/>
    <w:rsid w:val="008A1759"/>
    <w:rsid w:val="008C3E7F"/>
    <w:rsid w:val="00911D30"/>
    <w:rsid w:val="00920828"/>
    <w:rsid w:val="009236E9"/>
    <w:rsid w:val="00937D3A"/>
    <w:rsid w:val="00976541"/>
    <w:rsid w:val="00986F7F"/>
    <w:rsid w:val="009A3B62"/>
    <w:rsid w:val="009B2B02"/>
    <w:rsid w:val="009E5D05"/>
    <w:rsid w:val="00A0653D"/>
    <w:rsid w:val="00A105C0"/>
    <w:rsid w:val="00A430D7"/>
    <w:rsid w:val="00A4493B"/>
    <w:rsid w:val="00A45C77"/>
    <w:rsid w:val="00A57325"/>
    <w:rsid w:val="00A860C0"/>
    <w:rsid w:val="00A96BFA"/>
    <w:rsid w:val="00AA0A36"/>
    <w:rsid w:val="00AF47DC"/>
    <w:rsid w:val="00B33A8B"/>
    <w:rsid w:val="00B87B9E"/>
    <w:rsid w:val="00BA044C"/>
    <w:rsid w:val="00BB3766"/>
    <w:rsid w:val="00C627D4"/>
    <w:rsid w:val="00CD3BFC"/>
    <w:rsid w:val="00DC2F96"/>
    <w:rsid w:val="00DF4ED9"/>
    <w:rsid w:val="00E11DB0"/>
    <w:rsid w:val="00E133C5"/>
    <w:rsid w:val="00E25B0A"/>
    <w:rsid w:val="00EC35F5"/>
    <w:rsid w:val="00EC7357"/>
    <w:rsid w:val="00ED3E32"/>
    <w:rsid w:val="00F02212"/>
    <w:rsid w:val="00F25345"/>
    <w:rsid w:val="00F423A4"/>
    <w:rsid w:val="00F448F8"/>
    <w:rsid w:val="00F53F4F"/>
    <w:rsid w:val="00F73111"/>
    <w:rsid w:val="00F934B9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5897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  <w:style w:type="paragraph" w:customStyle="1" w:styleId="xmsonormal">
    <w:name w:val="x_msonormal"/>
    <w:basedOn w:val="Normal"/>
    <w:rsid w:val="008A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573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Human and physical geography- use basic geographical vocabulary to refer to:  key physical features and key human features.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Key human features, including: city, town, village, factory, farm, house, office, port, harbour and shop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including energy, food, minerals and water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including energy, food, minerals and water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Extend their knowledge and understanding beyond the local area to include the United Kingdom. This will include the location and characteristics of a range of the world’s most significant human and physical features.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Human geography, including: types of settlement and land use, economic activity including trade links, and the distribution of natural resources including energy, food, minerals and water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ScaleX="99153" custScaleY="9204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19330" y="435569"/>
          <a:ext cx="3371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11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8694" y="479450"/>
        <a:ext cx="18385" cy="3677"/>
      </dsp:txXfrm>
    </dsp:sp>
    <dsp:sp modelId="{3F512AD6-7E8F-42DF-8712-47BDC4381A23}">
      <dsp:nvSpPr>
        <dsp:cNvPr id="0" name=""/>
        <dsp:cNvSpPr/>
      </dsp:nvSpPr>
      <dsp:spPr>
        <a:xfrm>
          <a:off x="22377" y="1663"/>
          <a:ext cx="1598753" cy="95925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People, culture and communities</a:t>
          </a:r>
        </a:p>
      </dsp:txBody>
      <dsp:txXfrm>
        <a:off x="22377" y="1663"/>
        <a:ext cx="1598753" cy="959252"/>
      </dsp:txXfrm>
    </dsp:sp>
    <dsp:sp modelId="{D815D484-2EA3-4698-A7D7-B2A614173C7E}">
      <dsp:nvSpPr>
        <dsp:cNvPr id="0" name=""/>
        <dsp:cNvSpPr/>
      </dsp:nvSpPr>
      <dsp:spPr>
        <a:xfrm>
          <a:off x="821754" y="920970"/>
          <a:ext cx="1959696" cy="375257"/>
        </a:xfrm>
        <a:custGeom>
          <a:avLst/>
          <a:gdLst/>
          <a:ahLst/>
          <a:cxnLst/>
          <a:rect l="0" t="0" r="0" b="0"/>
          <a:pathLst>
            <a:path>
              <a:moveTo>
                <a:pt x="1959696" y="0"/>
              </a:moveTo>
              <a:lnTo>
                <a:pt x="1959696" y="204728"/>
              </a:lnTo>
              <a:lnTo>
                <a:pt x="0" y="204728"/>
              </a:lnTo>
              <a:lnTo>
                <a:pt x="0" y="37525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1570" y="1106761"/>
        <a:ext cx="100064" cy="3677"/>
      </dsp:txXfrm>
    </dsp:sp>
    <dsp:sp modelId="{B80891DB-8C44-4D1B-918C-020307F65FBE}">
      <dsp:nvSpPr>
        <dsp:cNvPr id="0" name=""/>
        <dsp:cNvSpPr/>
      </dsp:nvSpPr>
      <dsp:spPr>
        <a:xfrm>
          <a:off x="1988844" y="39807"/>
          <a:ext cx="1585212" cy="88296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Human and physical geography- use basic geographical vocabulary to refer to:  key physical features and key human features.</a:t>
          </a:r>
        </a:p>
      </dsp:txBody>
      <dsp:txXfrm>
        <a:off x="1988844" y="39807"/>
        <a:ext cx="1585212" cy="882962"/>
      </dsp:txXfrm>
    </dsp:sp>
    <dsp:sp modelId="{6E08753E-B015-45EC-A7D9-097ED2593BAA}">
      <dsp:nvSpPr>
        <dsp:cNvPr id="0" name=""/>
        <dsp:cNvSpPr/>
      </dsp:nvSpPr>
      <dsp:spPr>
        <a:xfrm>
          <a:off x="1619330" y="1762534"/>
          <a:ext cx="3371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11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8694" y="1806416"/>
        <a:ext cx="18385" cy="3677"/>
      </dsp:txXfrm>
    </dsp:sp>
    <dsp:sp modelId="{9DCCB02A-0ECC-40CD-A46B-E6E462E34DF6}">
      <dsp:nvSpPr>
        <dsp:cNvPr id="0" name=""/>
        <dsp:cNvSpPr/>
      </dsp:nvSpPr>
      <dsp:spPr>
        <a:xfrm>
          <a:off x="22377" y="1328628"/>
          <a:ext cx="1598753" cy="95925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Key human features, including: city, town, village, factory, farm, house, office, port, harbour and shop</a:t>
          </a:r>
          <a:endParaRPr lang="en-GB" sz="700" b="0" kern="1200"/>
        </a:p>
      </dsp:txBody>
      <dsp:txXfrm>
        <a:off x="22377" y="1328628"/>
        <a:ext cx="1598753" cy="959252"/>
      </dsp:txXfrm>
    </dsp:sp>
    <dsp:sp modelId="{64A05C4D-28D2-4E34-95A4-1C5816E2E910}">
      <dsp:nvSpPr>
        <dsp:cNvPr id="0" name=""/>
        <dsp:cNvSpPr/>
      </dsp:nvSpPr>
      <dsp:spPr>
        <a:xfrm>
          <a:off x="821754" y="2286080"/>
          <a:ext cx="1966466" cy="337113"/>
        </a:xfrm>
        <a:custGeom>
          <a:avLst/>
          <a:gdLst/>
          <a:ahLst/>
          <a:cxnLst/>
          <a:rect l="0" t="0" r="0" b="0"/>
          <a:pathLst>
            <a:path>
              <a:moveTo>
                <a:pt x="1966466" y="0"/>
              </a:moveTo>
              <a:lnTo>
                <a:pt x="1966466" y="185656"/>
              </a:lnTo>
              <a:lnTo>
                <a:pt x="0" y="185656"/>
              </a:lnTo>
              <a:lnTo>
                <a:pt x="0" y="33711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4973" y="2452798"/>
        <a:ext cx="100027" cy="3677"/>
      </dsp:txXfrm>
    </dsp:sp>
    <dsp:sp modelId="{FC2818A3-93C4-4FFA-BEC9-6B50D9C6DFCF}">
      <dsp:nvSpPr>
        <dsp:cNvPr id="0" name=""/>
        <dsp:cNvSpPr/>
      </dsp:nvSpPr>
      <dsp:spPr>
        <a:xfrm>
          <a:off x="1988844" y="1328628"/>
          <a:ext cx="1598753" cy="95925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Human geography, including: types of settlement and land use, economic activity including trade links, and the distribution of natural resources including energy, food, minerals and water</a:t>
          </a:r>
        </a:p>
      </dsp:txBody>
      <dsp:txXfrm>
        <a:off x="1988844" y="1328628"/>
        <a:ext cx="1598753" cy="959252"/>
      </dsp:txXfrm>
    </dsp:sp>
    <dsp:sp modelId="{429F93B1-8403-42BB-9D11-F559809369AF}">
      <dsp:nvSpPr>
        <dsp:cNvPr id="0" name=""/>
        <dsp:cNvSpPr/>
      </dsp:nvSpPr>
      <dsp:spPr>
        <a:xfrm>
          <a:off x="1619330" y="3089500"/>
          <a:ext cx="3371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11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8694" y="3133381"/>
        <a:ext cx="18385" cy="3677"/>
      </dsp:txXfrm>
    </dsp:sp>
    <dsp:sp modelId="{F96A19B7-5971-4A47-8E6A-578C8A085C0B}">
      <dsp:nvSpPr>
        <dsp:cNvPr id="0" name=""/>
        <dsp:cNvSpPr/>
      </dsp:nvSpPr>
      <dsp:spPr>
        <a:xfrm>
          <a:off x="22377" y="2655594"/>
          <a:ext cx="1598753" cy="95925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Human geography, including: types of settlement and land use, economic activity including trade links, and the distribution of natural resources including energy, food, minerals and water</a:t>
          </a:r>
        </a:p>
      </dsp:txBody>
      <dsp:txXfrm>
        <a:off x="22377" y="2655594"/>
        <a:ext cx="1598753" cy="959252"/>
      </dsp:txXfrm>
    </dsp:sp>
    <dsp:sp modelId="{68E5E9E3-94C1-4629-94B2-00EEB1A27B81}">
      <dsp:nvSpPr>
        <dsp:cNvPr id="0" name=""/>
        <dsp:cNvSpPr/>
      </dsp:nvSpPr>
      <dsp:spPr>
        <a:xfrm>
          <a:off x="821754" y="3613046"/>
          <a:ext cx="1966466" cy="337113"/>
        </a:xfrm>
        <a:custGeom>
          <a:avLst/>
          <a:gdLst/>
          <a:ahLst/>
          <a:cxnLst/>
          <a:rect l="0" t="0" r="0" b="0"/>
          <a:pathLst>
            <a:path>
              <a:moveTo>
                <a:pt x="1966466" y="0"/>
              </a:moveTo>
              <a:lnTo>
                <a:pt x="1966466" y="185656"/>
              </a:lnTo>
              <a:lnTo>
                <a:pt x="0" y="185656"/>
              </a:lnTo>
              <a:lnTo>
                <a:pt x="0" y="33711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4973" y="3779764"/>
        <a:ext cx="100027" cy="3677"/>
      </dsp:txXfrm>
    </dsp:sp>
    <dsp:sp modelId="{192CDF1B-3AB4-44D9-A030-638A931A7D52}">
      <dsp:nvSpPr>
        <dsp:cNvPr id="0" name=""/>
        <dsp:cNvSpPr/>
      </dsp:nvSpPr>
      <dsp:spPr>
        <a:xfrm>
          <a:off x="1988844" y="2655594"/>
          <a:ext cx="1598753" cy="95925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Extend their knowledge and understanding beyond the local area to include the United Kingdom. This will include the location and characteristics of a range of the world’s most significant human and physical features.</a:t>
          </a:r>
        </a:p>
      </dsp:txBody>
      <dsp:txXfrm>
        <a:off x="1988844" y="2655594"/>
        <a:ext cx="1598753" cy="959252"/>
      </dsp:txXfrm>
    </dsp:sp>
    <dsp:sp modelId="{F6B945CB-2912-4CC3-89F5-0E284767E4CE}">
      <dsp:nvSpPr>
        <dsp:cNvPr id="0" name=""/>
        <dsp:cNvSpPr/>
      </dsp:nvSpPr>
      <dsp:spPr>
        <a:xfrm>
          <a:off x="22377" y="3982559"/>
          <a:ext cx="1598753" cy="95925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Human geography, including: types of settlement and land use, economic activity including trade links, and the distribution of natural resources including energy, food, minerals and water</a:t>
          </a:r>
        </a:p>
      </dsp:txBody>
      <dsp:txXfrm>
        <a:off x="22377" y="3982559"/>
        <a:ext cx="1598753" cy="959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2023-07-19T12:12:00Z</cp:lastPrinted>
  <dcterms:created xsi:type="dcterms:W3CDTF">2023-05-04T13:47:00Z</dcterms:created>
  <dcterms:modified xsi:type="dcterms:W3CDTF">2024-06-20T12:55:00Z</dcterms:modified>
</cp:coreProperties>
</file>